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346D5" w14:textId="547BE596" w:rsidR="00ED6389" w:rsidRPr="00ED6389" w:rsidRDefault="00ED6389">
      <w:pPr>
        <w:rPr>
          <w:b/>
          <w:bCs/>
          <w:sz w:val="32"/>
          <w:szCs w:val="32"/>
          <w:lang w:val="en-GB"/>
        </w:rPr>
      </w:pPr>
      <w:bookmarkStart w:id="0" w:name="_GoBack"/>
      <w:bookmarkEnd w:id="0"/>
      <w:r w:rsidRPr="00ED6389">
        <w:rPr>
          <w:b/>
          <w:bCs/>
          <w:sz w:val="32"/>
          <w:szCs w:val="32"/>
          <w:lang w:val="en-GB"/>
        </w:rPr>
        <w:t>Pre-trial detention, restrictions, and de facto solitary confinement</w:t>
      </w:r>
    </w:p>
    <w:p w14:paraId="3625EC91" w14:textId="19D07B1F" w:rsidR="00ED6389" w:rsidRPr="00F87546" w:rsidRDefault="00ED6389">
      <w:pPr>
        <w:rPr>
          <w:i/>
          <w:iCs/>
          <w:lang w:val="en-GB"/>
        </w:rPr>
      </w:pPr>
      <w:r w:rsidRPr="00F87546">
        <w:rPr>
          <w:i/>
          <w:iCs/>
          <w:lang w:val="en-GB"/>
        </w:rPr>
        <w:t xml:space="preserve">Forsete input </w:t>
      </w:r>
      <w:r w:rsidR="00B63A76">
        <w:rPr>
          <w:i/>
          <w:iCs/>
          <w:lang w:val="en-GB"/>
        </w:rPr>
        <w:t>to the</w:t>
      </w:r>
      <w:r w:rsidRPr="00F87546">
        <w:rPr>
          <w:i/>
          <w:iCs/>
          <w:lang w:val="en-GB"/>
        </w:rPr>
        <w:t xml:space="preserve"> Parallel report to the UN Committee Against Torture</w:t>
      </w:r>
      <w:r w:rsidR="00B63A76">
        <w:rPr>
          <w:i/>
          <w:iCs/>
          <w:lang w:val="en-GB"/>
        </w:rPr>
        <w:t>, September 2023.</w:t>
      </w:r>
    </w:p>
    <w:p w14:paraId="6FD79F17" w14:textId="77777777" w:rsidR="00ED6389" w:rsidRDefault="00ED6389">
      <w:pPr>
        <w:rPr>
          <w:lang w:val="en-GB"/>
        </w:rPr>
      </w:pPr>
    </w:p>
    <w:p w14:paraId="2EC9C6CB" w14:textId="55E188A4" w:rsidR="00ED6389" w:rsidRPr="00ED6389" w:rsidRDefault="00ED6389">
      <w:pPr>
        <w:rPr>
          <w:b/>
          <w:bCs/>
          <w:lang w:val="en-GB"/>
        </w:rPr>
      </w:pPr>
      <w:r w:rsidRPr="00ED6389">
        <w:rPr>
          <w:b/>
          <w:bCs/>
          <w:lang w:val="en-GB"/>
        </w:rPr>
        <w:t>General recommendations regarding Pre-trial detention (remand imprisonment)</w:t>
      </w:r>
    </w:p>
    <w:p w14:paraId="398FFD37" w14:textId="77777777" w:rsidR="00ED6389" w:rsidRDefault="00ED6389" w:rsidP="00ED6389">
      <w:pPr>
        <w:pStyle w:val="Listeafsnit"/>
        <w:numPr>
          <w:ilvl w:val="0"/>
          <w:numId w:val="2"/>
        </w:numPr>
        <w:rPr>
          <w:lang w:val="en-GB"/>
        </w:rPr>
      </w:pPr>
      <w:r w:rsidRPr="00ED6389">
        <w:rPr>
          <w:lang w:val="en-GB"/>
        </w:rPr>
        <w:t xml:space="preserve">The Ministry of Justice should: </w:t>
      </w:r>
    </w:p>
    <w:p w14:paraId="59FA3E8B" w14:textId="77777777" w:rsidR="00ED6389" w:rsidRDefault="00ED6389" w:rsidP="00ED6389">
      <w:pPr>
        <w:pStyle w:val="Listeafsnit"/>
        <w:numPr>
          <w:ilvl w:val="1"/>
          <w:numId w:val="2"/>
        </w:numPr>
        <w:rPr>
          <w:lang w:val="en-GB"/>
        </w:rPr>
      </w:pPr>
      <w:r w:rsidRPr="00ED6389">
        <w:rPr>
          <w:lang w:val="en-GB"/>
        </w:rPr>
        <w:t>assess the causes of the historic and current overuse of pre-trial detention</w:t>
      </w:r>
    </w:p>
    <w:p w14:paraId="08CC4541" w14:textId="77777777" w:rsidR="00ED6389" w:rsidRDefault="00ED6389" w:rsidP="00ED6389">
      <w:pPr>
        <w:pStyle w:val="Listeafsnit"/>
        <w:numPr>
          <w:ilvl w:val="1"/>
          <w:numId w:val="2"/>
        </w:numPr>
        <w:rPr>
          <w:lang w:val="en-GB"/>
        </w:rPr>
      </w:pPr>
      <w:r w:rsidRPr="00ED6389">
        <w:rPr>
          <w:lang w:val="en-GB"/>
        </w:rPr>
        <w:t>develop concrete methods to lower the use of pre-trial detention</w:t>
      </w:r>
    </w:p>
    <w:p w14:paraId="02DD11BC" w14:textId="048596E4" w:rsidR="00104A7C" w:rsidRPr="00F57A13" w:rsidRDefault="00F57A13" w:rsidP="00EE211D">
      <w:pPr>
        <w:pStyle w:val="Listeafsnit"/>
        <w:numPr>
          <w:ilvl w:val="1"/>
          <w:numId w:val="2"/>
        </w:numPr>
        <w:rPr>
          <w:lang w:val="en-GB"/>
        </w:rPr>
      </w:pPr>
      <w:r w:rsidRPr="00F57A13">
        <w:rPr>
          <w:lang w:val="en-US"/>
        </w:rPr>
        <w:t xml:space="preserve">Bring an end to </w:t>
      </w:r>
      <w:r w:rsidR="00104A7C" w:rsidRPr="00F57A13">
        <w:rPr>
          <w:lang w:val="en-US"/>
        </w:rPr>
        <w:t>the extensive use of de facto solitary confinement</w:t>
      </w:r>
      <w:r>
        <w:rPr>
          <w:lang w:val="en-US"/>
        </w:rPr>
        <w:t>.</w:t>
      </w:r>
    </w:p>
    <w:p w14:paraId="54713564" w14:textId="0AD13249" w:rsidR="00F57A13" w:rsidRDefault="00F57A13" w:rsidP="00B56690">
      <w:pPr>
        <w:pStyle w:val="Listeafsnit"/>
        <w:numPr>
          <w:ilvl w:val="1"/>
          <w:numId w:val="2"/>
        </w:numPr>
        <w:rPr>
          <w:lang w:val="en-GB"/>
        </w:rPr>
      </w:pPr>
      <w:r>
        <w:rPr>
          <w:lang w:val="en-GB"/>
        </w:rPr>
        <w:t xml:space="preserve">Limit the extensive use of restrictions on visits and </w:t>
      </w:r>
      <w:r w:rsidR="00F52425">
        <w:rPr>
          <w:lang w:val="en-GB"/>
        </w:rPr>
        <w:t>correspondence.</w:t>
      </w:r>
    </w:p>
    <w:p w14:paraId="327BE8F1" w14:textId="7257CD68" w:rsidR="00F52425" w:rsidRPr="00F52425" w:rsidRDefault="00F52425" w:rsidP="00F52425">
      <w:pPr>
        <w:pStyle w:val="Listeafsnit"/>
        <w:numPr>
          <w:ilvl w:val="1"/>
          <w:numId w:val="2"/>
        </w:numPr>
        <w:rPr>
          <w:lang w:val="en-GB"/>
        </w:rPr>
      </w:pPr>
      <w:r w:rsidRPr="00F52425">
        <w:rPr>
          <w:lang w:val="en-US"/>
        </w:rPr>
        <w:t>I</w:t>
      </w:r>
      <w:r w:rsidRPr="00ED6389">
        <w:t xml:space="preserve">mplement </w:t>
      </w:r>
      <w:r w:rsidRPr="00ED6389">
        <w:rPr>
          <w:lang w:val="en-US"/>
        </w:rPr>
        <w:t xml:space="preserve">measures </w:t>
      </w:r>
      <w:r w:rsidRPr="00ED6389">
        <w:t xml:space="preserve">so that </w:t>
      </w:r>
      <w:r w:rsidRPr="00ED6389">
        <w:rPr>
          <w:lang w:val="en-US"/>
        </w:rPr>
        <w:t>pre</w:t>
      </w:r>
      <w:r>
        <w:rPr>
          <w:lang w:val="en-US"/>
        </w:rPr>
        <w:t xml:space="preserve">-trial detainees are not discriminated </w:t>
      </w:r>
      <w:r w:rsidRPr="00ED6389">
        <w:rPr>
          <w:lang w:val="en-US"/>
        </w:rPr>
        <w:t>compared to priso</w:t>
      </w:r>
      <w:r>
        <w:rPr>
          <w:lang w:val="en-US"/>
        </w:rPr>
        <w:t>ners</w:t>
      </w:r>
      <w:r w:rsidRPr="00ED6389">
        <w:t xml:space="preserve"> serving </w:t>
      </w:r>
      <w:r w:rsidRPr="00ED6389">
        <w:rPr>
          <w:lang w:val="en-US"/>
        </w:rPr>
        <w:t xml:space="preserve">a </w:t>
      </w:r>
      <w:r w:rsidRPr="00ED6389">
        <w:t>sentence.</w:t>
      </w:r>
    </w:p>
    <w:p w14:paraId="78A31B92" w14:textId="77777777" w:rsidR="00ED6389" w:rsidRDefault="00ED6389">
      <w:pPr>
        <w:rPr>
          <w:lang w:val="en-GB"/>
        </w:rPr>
      </w:pPr>
    </w:p>
    <w:p w14:paraId="01408CDC" w14:textId="7604F55F" w:rsidR="00AA1468" w:rsidRPr="00AA1468" w:rsidRDefault="00AA1468">
      <w:pPr>
        <w:rPr>
          <w:b/>
          <w:bCs/>
          <w:lang w:val="en-GB"/>
        </w:rPr>
      </w:pPr>
      <w:r w:rsidRPr="00AA1468">
        <w:rPr>
          <w:b/>
          <w:bCs/>
          <w:lang w:val="en-GB"/>
        </w:rPr>
        <w:t>General facts about Pre-trial detention in Denmark</w:t>
      </w:r>
    </w:p>
    <w:p w14:paraId="65714D16" w14:textId="13D19509" w:rsidR="00AA1468" w:rsidRDefault="00B63A76">
      <w:pPr>
        <w:rPr>
          <w:lang w:val="en-GB"/>
        </w:rPr>
      </w:pPr>
      <w:r>
        <w:rPr>
          <w:lang w:val="en-GB"/>
        </w:rPr>
        <w:t>T</w:t>
      </w:r>
      <w:r w:rsidR="00B56690">
        <w:rPr>
          <w:lang w:val="en-GB"/>
        </w:rPr>
        <w:t>he</w:t>
      </w:r>
      <w:r w:rsidR="00AA1468">
        <w:rPr>
          <w:lang w:val="en-GB"/>
        </w:rPr>
        <w:t>re has been a peculiar and remarkable</w:t>
      </w:r>
      <w:r w:rsidR="00B56690">
        <w:rPr>
          <w:lang w:val="en-GB"/>
        </w:rPr>
        <w:t xml:space="preserve"> overuse of </w:t>
      </w:r>
      <w:r w:rsidR="00AA1468">
        <w:rPr>
          <w:lang w:val="en-GB"/>
        </w:rPr>
        <w:t>pre-trial detention in Denmark which has gotten much worse in recent years</w:t>
      </w:r>
      <w:r>
        <w:rPr>
          <w:lang w:val="en-GB"/>
        </w:rPr>
        <w:t xml:space="preserve"> when compared to most other European countries including the other Nordic countries.</w:t>
      </w:r>
      <w:r w:rsidR="004D6E1C">
        <w:rPr>
          <w:rStyle w:val="Fodnotehenvisning"/>
          <w:lang w:val="en-GB"/>
        </w:rPr>
        <w:footnoteReference w:id="1"/>
      </w:r>
    </w:p>
    <w:p w14:paraId="34FA3590" w14:textId="09CCFFF3" w:rsidR="00B56690" w:rsidRPr="00B63A76" w:rsidRDefault="00AA1468">
      <w:pPr>
        <w:rPr>
          <w:i/>
          <w:iCs/>
          <w:lang w:val="en-GB"/>
        </w:rPr>
      </w:pPr>
      <w:r w:rsidRPr="00B63A76">
        <w:rPr>
          <w:i/>
          <w:iCs/>
          <w:lang w:val="en-GB"/>
        </w:rPr>
        <w:t>P</w:t>
      </w:r>
      <w:r w:rsidR="00B56690" w:rsidRPr="00B63A76">
        <w:rPr>
          <w:i/>
          <w:iCs/>
          <w:lang w:val="en-GB"/>
        </w:rPr>
        <w:t>re-trial detention</w:t>
      </w:r>
      <w:r w:rsidRPr="00B63A76">
        <w:rPr>
          <w:i/>
          <w:iCs/>
          <w:lang w:val="en-GB"/>
        </w:rPr>
        <w:t xml:space="preserve"> </w:t>
      </w:r>
      <w:r w:rsidR="00B56690" w:rsidRPr="00B63A76">
        <w:rPr>
          <w:i/>
          <w:iCs/>
          <w:lang w:val="en-GB"/>
        </w:rPr>
        <w:t>in Denmark compared to the other Nordic countries:</w:t>
      </w:r>
      <w:r w:rsidR="009518C4">
        <w:rPr>
          <w:rStyle w:val="Fodnotehenvisning"/>
          <w:i/>
          <w:iCs/>
          <w:lang w:val="en-GB"/>
        </w:rPr>
        <w:footnoteReference w:id="2"/>
      </w:r>
    </w:p>
    <w:p w14:paraId="464E020E" w14:textId="64AF1864" w:rsidR="00ED6389" w:rsidRPr="00B56690" w:rsidRDefault="00B56690">
      <w:pPr>
        <w:rPr>
          <w:lang w:val="en-GB"/>
        </w:rPr>
      </w:pPr>
      <w:r w:rsidRPr="00B56690">
        <w:rPr>
          <w:noProof/>
          <w:lang w:eastAsia="da-DK"/>
        </w:rPr>
        <w:drawing>
          <wp:inline distT="0" distB="0" distL="0" distR="0" wp14:anchorId="2C47B176" wp14:editId="75A92D33">
            <wp:extent cx="5021027" cy="3078480"/>
            <wp:effectExtent l="12700" t="12700" r="8255" b="7620"/>
            <wp:docPr id="63273986" name="Billede 1" descr="Et billede, der indeholder tekst, diagram, linje/række,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73986" name="Billede 1" descr="Et billede, der indeholder tekst, diagram, linje/række, Font/skrifttype&#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5099612" cy="3126662"/>
                    </a:xfrm>
                    <a:prstGeom prst="rect">
                      <a:avLst/>
                    </a:prstGeom>
                    <a:ln>
                      <a:solidFill>
                        <a:schemeClr val="tx1"/>
                      </a:solidFill>
                    </a:ln>
                  </pic:spPr>
                </pic:pic>
              </a:graphicData>
            </a:graphic>
          </wp:inline>
        </w:drawing>
      </w:r>
    </w:p>
    <w:p w14:paraId="6C64E926" w14:textId="77777777" w:rsidR="00B56690" w:rsidRPr="00B56690" w:rsidRDefault="00B56690">
      <w:pPr>
        <w:rPr>
          <w:lang w:val="en-GB"/>
        </w:rPr>
      </w:pPr>
    </w:p>
    <w:p w14:paraId="7E426F6D" w14:textId="34205C16" w:rsidR="00BA18D0" w:rsidRPr="00B63A76" w:rsidRDefault="00B56690">
      <w:pPr>
        <w:rPr>
          <w:i/>
          <w:iCs/>
          <w:lang w:val="en-GB"/>
        </w:rPr>
      </w:pPr>
      <w:r w:rsidRPr="00B63A76">
        <w:rPr>
          <w:i/>
          <w:iCs/>
          <w:lang w:val="en-GB"/>
        </w:rPr>
        <w:t>Number of pre-trial detainees (remand prisoners) in relation to the total number of prisoners in the Nordic countries in 2022 (percentages):</w:t>
      </w:r>
      <w:r w:rsidRPr="00B63A76">
        <w:rPr>
          <w:rStyle w:val="Fodnotehenvisning"/>
          <w:i/>
          <w:iCs/>
          <w:lang w:val="en-GB"/>
        </w:rPr>
        <w:footnoteReference w:id="3"/>
      </w:r>
    </w:p>
    <w:p w14:paraId="598305E8" w14:textId="110052BE" w:rsidR="00B56690" w:rsidRPr="00B56690" w:rsidRDefault="00B56690" w:rsidP="00BA18D0">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B56690">
        <w:rPr>
          <w:lang w:val="en-GB"/>
        </w:rPr>
        <w:t>Denmark     Sweden    Norway    Finland     Iceland    European median</w:t>
      </w:r>
    </w:p>
    <w:p w14:paraId="128672CB" w14:textId="77777777" w:rsidR="00B56690" w:rsidRPr="00B56690" w:rsidRDefault="00B56690" w:rsidP="00BA18D0">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B56690">
        <w:rPr>
          <w:lang w:val="en-GB"/>
        </w:rPr>
        <w:t xml:space="preserve">      41               28           23            22             18                      21,7</w:t>
      </w:r>
    </w:p>
    <w:p w14:paraId="3CF68CC4" w14:textId="77777777" w:rsidR="00B56690" w:rsidRPr="00B56690" w:rsidRDefault="00B56690">
      <w:pPr>
        <w:rPr>
          <w:lang w:val="en-GB"/>
        </w:rPr>
      </w:pPr>
    </w:p>
    <w:p w14:paraId="0106966C" w14:textId="43DE4BE1" w:rsidR="00B56690" w:rsidRDefault="00B63A76">
      <w:pPr>
        <w:rPr>
          <w:lang w:val="en-GB"/>
        </w:rPr>
      </w:pPr>
      <w:r>
        <w:rPr>
          <w:lang w:val="en-GB"/>
        </w:rPr>
        <w:lastRenderedPageBreak/>
        <w:t>Remarkably 60 % of time spent in pre-trial detention takes place after the police investigation has been concluded and charges have been made.</w:t>
      </w:r>
      <w:r>
        <w:rPr>
          <w:rStyle w:val="Fodnotehenvisning"/>
          <w:lang w:val="en-GB"/>
        </w:rPr>
        <w:footnoteReference w:id="4"/>
      </w:r>
      <w:r>
        <w:rPr>
          <w:lang w:val="en-GB"/>
        </w:rPr>
        <w:t xml:space="preserve"> Furthermore, processing time at the courts have risen dramatically in recent years. In criminal case the court processing has almost doubled from 4,4 months in 2018 to 8,4 months in 2022.</w:t>
      </w:r>
      <w:r>
        <w:rPr>
          <w:rStyle w:val="Fodnotehenvisning"/>
          <w:lang w:val="en-GB"/>
        </w:rPr>
        <w:footnoteReference w:id="5"/>
      </w:r>
    </w:p>
    <w:p w14:paraId="24E455AD" w14:textId="744246CF" w:rsidR="00104A7C" w:rsidRDefault="00104A7C" w:rsidP="00104A7C">
      <w:r>
        <w:rPr>
          <w:lang w:val="en-GB"/>
        </w:rPr>
        <w:t xml:space="preserve">Despite this situation, the available alternatives to pre-trial detention are almost never used by the courts/prosecution. For example, </w:t>
      </w:r>
      <w:r>
        <w:t xml:space="preserve">surrogate </w:t>
      </w:r>
      <w:r w:rsidRPr="00104A7C">
        <w:rPr>
          <w:lang w:val="en-US"/>
        </w:rPr>
        <w:t>detention</w:t>
      </w:r>
      <w:r>
        <w:t xml:space="preserve"> according to Section 765 of the Administration of Justice Act is used almost exclusively for young people under the age of 18 and mentally deviant people over the age of 18.</w:t>
      </w:r>
      <w:r>
        <w:rPr>
          <w:rStyle w:val="Fodnotehenvisning"/>
        </w:rPr>
        <w:footnoteReference w:id="6"/>
      </w:r>
      <w:r w:rsidRPr="00104A7C">
        <w:rPr>
          <w:lang w:val="en-US"/>
        </w:rPr>
        <w:t xml:space="preserve"> </w:t>
      </w:r>
      <w:r>
        <w:rPr>
          <w:lang w:val="en-US"/>
        </w:rPr>
        <w:t xml:space="preserve">This practice seems not to meet </w:t>
      </w:r>
      <w:r>
        <w:t>the requirements of the Administration of Justice Act and the ECtHR's art.5</w:t>
      </w:r>
      <w:r w:rsidRPr="00104A7C">
        <w:rPr>
          <w:lang w:val="en-US"/>
        </w:rPr>
        <w:t>, according to whic</w:t>
      </w:r>
      <w:r>
        <w:rPr>
          <w:lang w:val="en-US"/>
        </w:rPr>
        <w:t xml:space="preserve">h </w:t>
      </w:r>
      <w:r>
        <w:t xml:space="preserve">detention </w:t>
      </w:r>
      <w:r w:rsidRPr="00104A7C">
        <w:rPr>
          <w:lang w:val="en-US"/>
        </w:rPr>
        <w:t>should be</w:t>
      </w:r>
      <w:r>
        <w:rPr>
          <w:lang w:val="en-US"/>
        </w:rPr>
        <w:t xml:space="preserve"> considered as a last resort </w:t>
      </w:r>
      <w:r w:rsidRPr="00104A7C">
        <w:rPr>
          <w:lang w:val="en-US"/>
        </w:rPr>
        <w:t>and only</w:t>
      </w:r>
      <w:r>
        <w:rPr>
          <w:lang w:val="en-US"/>
        </w:rPr>
        <w:t xml:space="preserve"> </w:t>
      </w:r>
      <w:r>
        <w:t>if the purpose can</w:t>
      </w:r>
      <w:r w:rsidRPr="00104A7C">
        <w:rPr>
          <w:lang w:val="en-US"/>
        </w:rPr>
        <w:t>not</w:t>
      </w:r>
      <w:r>
        <w:t xml:space="preserve"> be achieved with less intrusive means.</w:t>
      </w:r>
    </w:p>
    <w:p w14:paraId="701F4427" w14:textId="77777777" w:rsidR="00104A7C" w:rsidRDefault="00104A7C" w:rsidP="00104A7C"/>
    <w:p w14:paraId="12BBF89D" w14:textId="03AFFE79" w:rsidR="00104A7C" w:rsidRPr="00104A7C" w:rsidRDefault="00104A7C" w:rsidP="00104A7C">
      <w:pPr>
        <w:rPr>
          <w:b/>
          <w:bCs/>
          <w:lang w:val="en-US"/>
        </w:rPr>
      </w:pPr>
      <w:r>
        <w:rPr>
          <w:b/>
          <w:bCs/>
          <w:lang w:val="en-US"/>
        </w:rPr>
        <w:t>Restrictions and d</w:t>
      </w:r>
      <w:r w:rsidRPr="00104A7C">
        <w:rPr>
          <w:b/>
          <w:bCs/>
          <w:lang w:val="en-US"/>
        </w:rPr>
        <w:t>e facto solitary confinement during pre-trial detention</w:t>
      </w:r>
    </w:p>
    <w:p w14:paraId="4FF5ECEC" w14:textId="77777777" w:rsidR="00F57A13" w:rsidRDefault="00104A7C" w:rsidP="00104A7C">
      <w:pPr>
        <w:rPr>
          <w:lang w:val="en-US"/>
        </w:rPr>
      </w:pPr>
      <w:r>
        <w:rPr>
          <w:lang w:val="en-US"/>
        </w:rPr>
        <w:t xml:space="preserve">The extensive use of pre-trial solitary confinement in Denmark (and the other Scandinavian countries) has been a </w:t>
      </w:r>
      <w:r w:rsidR="00F57A13">
        <w:rPr>
          <w:lang w:val="en-US"/>
        </w:rPr>
        <w:t>long-standing</w:t>
      </w:r>
      <w:r>
        <w:rPr>
          <w:lang w:val="en-US"/>
        </w:rPr>
        <w:t xml:space="preserve"> issue where CAT and CPT has criticized Denmark and the other Scandinavian countries extensively over the years. </w:t>
      </w:r>
      <w:r w:rsidR="00F57A13">
        <w:rPr>
          <w:lang w:val="en-US"/>
        </w:rPr>
        <w:t xml:space="preserve">On the surface, Danish authorities have responded successfully to these critique through legal changes and reforms that have brought the use of court ordered pre-trial solitary confinement down to a minimum (used in less than 1 % of all cases of pre-trial detention). However, in reality, a majority of pre-trial detainees are currently in de facto solitary confinement dure to lack of staff and often also to a lack of communal spaces in the old remand institutions. </w:t>
      </w:r>
    </w:p>
    <w:p w14:paraId="0F038180" w14:textId="77777777" w:rsidR="00F57A13" w:rsidRDefault="00F57A13" w:rsidP="00104A7C">
      <w:pPr>
        <w:rPr>
          <w:lang w:val="en-US"/>
        </w:rPr>
      </w:pPr>
    </w:p>
    <w:p w14:paraId="15F85734" w14:textId="77777777" w:rsidR="005D6D13" w:rsidRPr="008A1345" w:rsidRDefault="00F57A13" w:rsidP="005D6D13">
      <w:pPr>
        <w:rPr>
          <w:lang w:val="en-US"/>
        </w:rPr>
      </w:pPr>
      <w:r>
        <w:rPr>
          <w:lang w:val="en-US"/>
        </w:rPr>
        <w:t xml:space="preserve">The result is in other words </w:t>
      </w:r>
      <w:r w:rsidR="005D6D13">
        <w:rPr>
          <w:lang w:val="en-US"/>
        </w:rPr>
        <w:t>remarkable and most unfortunate:</w:t>
      </w:r>
      <w:r>
        <w:rPr>
          <w:lang w:val="en-US"/>
        </w:rPr>
        <w:t xml:space="preserve"> after decades of debate and criticism Danish authorities finally acknowledged that the use of pre-trial solitary confinement is unhealthy, unjust</w:t>
      </w:r>
      <w:r w:rsidR="008A1345">
        <w:rPr>
          <w:lang w:val="en-US"/>
        </w:rPr>
        <w:t>,</w:t>
      </w:r>
      <w:r>
        <w:rPr>
          <w:lang w:val="en-US"/>
        </w:rPr>
        <w:t xml:space="preserve"> and dangerous and </w:t>
      </w:r>
      <w:r w:rsidR="008A1345">
        <w:rPr>
          <w:lang w:val="en-US"/>
        </w:rPr>
        <w:t xml:space="preserve">as a result </w:t>
      </w:r>
      <w:r>
        <w:rPr>
          <w:lang w:val="en-US"/>
        </w:rPr>
        <w:t>almost abolished</w:t>
      </w:r>
      <w:r w:rsidR="008A1345">
        <w:rPr>
          <w:lang w:val="en-US"/>
        </w:rPr>
        <w:t xml:space="preserve"> the use of court ordered pre-trial solitary confinement.</w:t>
      </w:r>
      <w:r w:rsidR="008A1345">
        <w:rPr>
          <w:rStyle w:val="Fodnotehenvisning"/>
          <w:lang w:val="en-US"/>
        </w:rPr>
        <w:footnoteReference w:id="7"/>
      </w:r>
      <w:r w:rsidR="008A1345">
        <w:rPr>
          <w:lang w:val="en-US"/>
        </w:rPr>
        <w:t xml:space="preserve"> Yet today, most </w:t>
      </w:r>
      <w:r w:rsidR="008A1345" w:rsidRPr="00ED6389">
        <w:rPr>
          <w:lang w:val="en-US"/>
        </w:rPr>
        <w:t>pre</w:t>
      </w:r>
      <w:r w:rsidR="008A1345">
        <w:rPr>
          <w:lang w:val="en-US"/>
        </w:rPr>
        <w:t xml:space="preserve">-trial detainees in Denmark are </w:t>
      </w:r>
      <w:r w:rsidR="005D6D13">
        <w:rPr>
          <w:lang w:val="en-US"/>
        </w:rPr>
        <w:t xml:space="preserve">still </w:t>
      </w:r>
      <w:r w:rsidR="008A1345">
        <w:rPr>
          <w:lang w:val="en-US"/>
        </w:rPr>
        <w:t xml:space="preserve">subjected to pre-trial solitary confinement. </w:t>
      </w:r>
      <w:r w:rsidR="005D6D13">
        <w:rPr>
          <w:lang w:val="en-US"/>
        </w:rPr>
        <w:t>As a result, pre-trial detention has been labeled “Denmark’s harshest punishment” even though the detained individuals have not been sentenced yet</w:t>
      </w:r>
      <w:r w:rsidR="005D6D13">
        <w:t>.</w:t>
      </w:r>
      <w:r w:rsidR="005D6D13">
        <w:rPr>
          <w:rStyle w:val="Fodnotehenvisning"/>
        </w:rPr>
        <w:footnoteReference w:id="8"/>
      </w:r>
    </w:p>
    <w:p w14:paraId="3FB570A2" w14:textId="77777777" w:rsidR="005D6D13" w:rsidRDefault="005D6D13" w:rsidP="00F57A13">
      <w:pPr>
        <w:rPr>
          <w:lang w:val="en-US"/>
        </w:rPr>
      </w:pPr>
    </w:p>
    <w:p w14:paraId="52CB7B69" w14:textId="4F681981" w:rsidR="00B56690" w:rsidRPr="008A1345" w:rsidRDefault="005D6D13" w:rsidP="008A1345">
      <w:r w:rsidRPr="005D6D13">
        <w:rPr>
          <w:lang w:val="en-US"/>
        </w:rPr>
        <w:t xml:space="preserve">In addition to the </w:t>
      </w:r>
      <w:r>
        <w:rPr>
          <w:lang w:val="en-US"/>
        </w:rPr>
        <w:t xml:space="preserve">continuous use of isolation </w:t>
      </w:r>
      <w:r w:rsidR="009E57A1">
        <w:rPr>
          <w:lang w:val="en-US"/>
        </w:rPr>
        <w:t>Denmark has</w:t>
      </w:r>
      <w:r>
        <w:rPr>
          <w:lang w:val="en-US"/>
        </w:rPr>
        <w:t xml:space="preserve"> a </w:t>
      </w:r>
      <w:r w:rsidR="009E57A1">
        <w:rPr>
          <w:lang w:val="en-US"/>
        </w:rPr>
        <w:t>long-standing</w:t>
      </w:r>
      <w:r>
        <w:rPr>
          <w:lang w:val="en-US"/>
        </w:rPr>
        <w:t xml:space="preserve"> practice </w:t>
      </w:r>
      <w:r w:rsidR="009E57A1">
        <w:rPr>
          <w:lang w:val="en-US"/>
        </w:rPr>
        <w:t>of restricting the correspondence and visits of pre-trial detainees - a measure labeled B&amp;B. This creates a regime making it exceedingly difficult to maintain meaningful contact with family members and children, the latter which have a right to maintain contact with their parents when it is in the best interest of the child.  Today more half of all placements in pre-trial detention have additional restrictions on correspondence and visits.</w:t>
      </w:r>
      <w:r>
        <w:rPr>
          <w:rStyle w:val="Fodnotehenvisning"/>
        </w:rPr>
        <w:footnoteReference w:id="9"/>
      </w:r>
      <w:r w:rsidR="009E57A1">
        <w:rPr>
          <w:lang w:val="en-US"/>
        </w:rPr>
        <w:t xml:space="preserve"> Such measures are supposed to be based on specific individual </w:t>
      </w:r>
      <w:r w:rsidR="00223BFA">
        <w:rPr>
          <w:lang w:val="en-US"/>
        </w:rPr>
        <w:t>circumstances,</w:t>
      </w:r>
      <w:r w:rsidR="009E57A1">
        <w:rPr>
          <w:lang w:val="en-US"/>
        </w:rPr>
        <w:t xml:space="preserve"> but </w:t>
      </w:r>
      <w:r w:rsidR="00223BFA">
        <w:rPr>
          <w:lang w:val="en-US"/>
        </w:rPr>
        <w:t>practice indicate that</w:t>
      </w:r>
      <w:r w:rsidR="009E57A1">
        <w:rPr>
          <w:lang w:val="en-US"/>
        </w:rPr>
        <w:t xml:space="preserve"> they</w:t>
      </w:r>
      <w:r w:rsidR="00223BFA">
        <w:rPr>
          <w:lang w:val="en-US"/>
        </w:rPr>
        <w:t xml:space="preserve"> are applied more or less automatically without any individual argumentation or concerns.</w:t>
      </w:r>
    </w:p>
    <w:sectPr w:rsidR="00B56690" w:rsidRPr="008A13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6EF3" w14:textId="77777777" w:rsidR="00F85543" w:rsidRDefault="00F85543" w:rsidP="00B56690">
      <w:r>
        <w:separator/>
      </w:r>
    </w:p>
  </w:endnote>
  <w:endnote w:type="continuationSeparator" w:id="0">
    <w:p w14:paraId="557431F1" w14:textId="77777777" w:rsidR="00F85543" w:rsidRDefault="00F85543" w:rsidP="00B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0D0E" w14:textId="77777777" w:rsidR="00F85543" w:rsidRDefault="00F85543" w:rsidP="00B56690">
      <w:r>
        <w:separator/>
      </w:r>
    </w:p>
  </w:footnote>
  <w:footnote w:type="continuationSeparator" w:id="0">
    <w:p w14:paraId="2BD03DC4" w14:textId="77777777" w:rsidR="00F85543" w:rsidRDefault="00F85543" w:rsidP="00B56690">
      <w:r>
        <w:continuationSeparator/>
      </w:r>
    </w:p>
  </w:footnote>
  <w:footnote w:id="1">
    <w:p w14:paraId="6A4F2B45" w14:textId="1CD3AF32" w:rsidR="004D6E1C" w:rsidRPr="00C95598" w:rsidRDefault="004D6E1C">
      <w:pPr>
        <w:pStyle w:val="Fodnotetekst"/>
        <w:rPr>
          <w:lang w:val="en-US"/>
        </w:rPr>
      </w:pPr>
      <w:r>
        <w:rPr>
          <w:rStyle w:val="Fodnotehenvisning"/>
        </w:rPr>
        <w:footnoteRef/>
      </w:r>
      <w:r>
        <w:t xml:space="preserve"> </w:t>
      </w:r>
      <w:r w:rsidRPr="004D6E1C">
        <w:rPr>
          <w:lang w:val="en-US"/>
        </w:rPr>
        <w:t>This overuse is documented by</w:t>
      </w:r>
      <w:r>
        <w:rPr>
          <w:lang w:val="en-US"/>
        </w:rPr>
        <w:t xml:space="preserve"> the figures/tables presented here. See also </w:t>
      </w:r>
      <w:r w:rsidRPr="004D6E1C">
        <w:rPr>
          <w:lang w:val="en-US"/>
        </w:rPr>
        <w:t xml:space="preserve">CPT, Report to the Danish Government on the visit to Denmark by the CPT from 3 to 12 april 2019. </w:t>
      </w:r>
      <w:r w:rsidRPr="00C95598">
        <w:rPr>
          <w:lang w:val="en-US"/>
        </w:rPr>
        <w:t>CPT/inf (2019) 35, para. 29.</w:t>
      </w:r>
    </w:p>
  </w:footnote>
  <w:footnote w:id="2">
    <w:p w14:paraId="1883D104" w14:textId="27717004" w:rsidR="009518C4" w:rsidRPr="009518C4" w:rsidRDefault="009518C4">
      <w:pPr>
        <w:pStyle w:val="Fodnotetekst"/>
      </w:pPr>
      <w:r>
        <w:rPr>
          <w:rStyle w:val="Fodnotehenvisning"/>
        </w:rPr>
        <w:footnoteRef/>
      </w:r>
      <w:r>
        <w:t xml:space="preserve"> </w:t>
      </w:r>
      <w:r w:rsidRPr="009518C4">
        <w:t>Remand populations are a function of the number of individuals imprisoned on remand and the length of remand placements</w:t>
      </w:r>
      <w:r w:rsidRPr="009518C4">
        <w:rPr>
          <w:lang w:val="en-US"/>
        </w:rPr>
        <w:t xml:space="preserve">, </w:t>
      </w:r>
      <w:r>
        <w:rPr>
          <w:lang w:val="en-US"/>
        </w:rPr>
        <w:t xml:space="preserve">and then </w:t>
      </w:r>
      <w:r w:rsidRPr="009518C4">
        <w:rPr>
          <w:lang w:val="en-US"/>
        </w:rPr>
        <w:t>measured</w:t>
      </w:r>
      <w:r>
        <w:rPr>
          <w:lang w:val="en-US"/>
        </w:rPr>
        <w:t xml:space="preserve"> pr. 100.000 population. See </w:t>
      </w:r>
      <w:r w:rsidRPr="009518C4">
        <w:rPr>
          <w:lang w:val="en-US"/>
        </w:rPr>
        <w:t>Lönnqvist</w:t>
      </w:r>
      <w:r>
        <w:rPr>
          <w:lang w:val="en-US"/>
        </w:rPr>
        <w:t xml:space="preserve">, E. (2023) </w:t>
      </w:r>
      <w:r w:rsidRPr="009518C4">
        <w:rPr>
          <w:lang w:val="en-US"/>
        </w:rPr>
        <w:t>Prisoners of process: The development of remand prisoner rates in the Nordic countries</w:t>
      </w:r>
      <w:r>
        <w:rPr>
          <w:lang w:val="en-US"/>
        </w:rPr>
        <w:t xml:space="preserve">, </w:t>
      </w:r>
      <w:r w:rsidRPr="00AC2AEE">
        <w:rPr>
          <w:i/>
          <w:iCs/>
          <w:lang w:val="en-US"/>
        </w:rPr>
        <w:t>Nordic Journal of Criminology</w:t>
      </w:r>
      <w:r>
        <w:rPr>
          <w:lang w:val="en-US"/>
        </w:rPr>
        <w:t xml:space="preserve">, </w:t>
      </w:r>
      <w:r w:rsidRPr="009518C4">
        <w:rPr>
          <w:lang w:val="en-US"/>
        </w:rPr>
        <w:t>Vol.24, Iss.2</w:t>
      </w:r>
      <w:r>
        <w:rPr>
          <w:lang w:val="en-US"/>
        </w:rPr>
        <w:t>.</w:t>
      </w:r>
    </w:p>
  </w:footnote>
  <w:footnote w:id="3">
    <w:p w14:paraId="7BAB76FA" w14:textId="71047F0C" w:rsidR="00B56690" w:rsidRPr="00C95598" w:rsidRDefault="00B56690">
      <w:pPr>
        <w:pStyle w:val="Fodnotetekst"/>
      </w:pPr>
      <w:r>
        <w:rPr>
          <w:rStyle w:val="Fodnotehenvisning"/>
        </w:rPr>
        <w:footnoteRef/>
      </w:r>
      <w:r w:rsidR="00C95598" w:rsidRPr="00C95598">
        <w:t>https://menneskeret.dk/status/faengsler-frihedsberoevelse#toc-vores-vigtigste-anbefalinger¨</w:t>
      </w:r>
      <w:r w:rsidRPr="00C95598">
        <w:t>.</w:t>
      </w:r>
    </w:p>
  </w:footnote>
  <w:footnote w:id="4">
    <w:p w14:paraId="267602D5" w14:textId="63DB2CA4" w:rsidR="00B63A76" w:rsidRPr="00B63A76" w:rsidRDefault="00B63A76">
      <w:pPr>
        <w:pStyle w:val="Fodnotetekst"/>
      </w:pPr>
      <w:r>
        <w:rPr>
          <w:rStyle w:val="Fodnotehenvisning"/>
        </w:rPr>
        <w:footnoteRef/>
      </w:r>
      <w:r>
        <w:t xml:space="preserve"> </w:t>
      </w:r>
      <w:r w:rsidRPr="00B63A76">
        <w:t>Besvarelse af spørgsmål nr. 382 (Alm.del) fra Folketingets Retsudvalg, 3.4.2023, tabel 3</w:t>
      </w:r>
      <w:r>
        <w:t>.</w:t>
      </w:r>
    </w:p>
  </w:footnote>
  <w:footnote w:id="5">
    <w:p w14:paraId="084E83B3" w14:textId="48AC77BC" w:rsidR="00B63A76" w:rsidRPr="00B63A76" w:rsidRDefault="00B63A76">
      <w:pPr>
        <w:pStyle w:val="Fodnotetekst"/>
      </w:pPr>
      <w:r>
        <w:rPr>
          <w:rStyle w:val="Fodnotehenvisning"/>
        </w:rPr>
        <w:footnoteRef/>
      </w:r>
      <w:r>
        <w:t xml:space="preserve"> </w:t>
      </w:r>
      <w:hyperlink r:id="rId1" w:history="1">
        <w:r w:rsidRPr="001B1D38">
          <w:rPr>
            <w:rStyle w:val="Hyperlink"/>
          </w:rPr>
          <w:t>https://domstol.dk/aktuelt/2023/3/fortsat-lange-sagsbehandlingstider-i-2022/</w:t>
        </w:r>
      </w:hyperlink>
      <w:r>
        <w:t xml:space="preserve"> </w:t>
      </w:r>
    </w:p>
  </w:footnote>
  <w:footnote w:id="6">
    <w:p w14:paraId="6A6A148C" w14:textId="7DDA0D7A" w:rsidR="00104A7C" w:rsidRPr="005D6D13" w:rsidRDefault="00104A7C">
      <w:pPr>
        <w:pStyle w:val="Fodnotetekst"/>
      </w:pPr>
      <w:r>
        <w:rPr>
          <w:rStyle w:val="Fodnotehenvisning"/>
        </w:rPr>
        <w:footnoteRef/>
      </w:r>
      <w:r>
        <w:t xml:space="preserve"> </w:t>
      </w:r>
      <w:r w:rsidR="005D6D13" w:rsidRPr="005D6D13">
        <w:t>Kessing, P.V. (2023) Varetægtsfængsling og menneskeret</w:t>
      </w:r>
      <w:r w:rsidR="005D6D13">
        <w:t xml:space="preserve">, </w:t>
      </w:r>
      <w:r w:rsidR="005D6D13" w:rsidRPr="00AC2AEE">
        <w:rPr>
          <w:i/>
          <w:iCs/>
        </w:rPr>
        <w:t>Ugeskrift for Retsvæsen</w:t>
      </w:r>
      <w:r w:rsidR="005D6D13">
        <w:t>, B/145.</w:t>
      </w:r>
    </w:p>
  </w:footnote>
  <w:footnote w:id="7">
    <w:p w14:paraId="12A3807D" w14:textId="0DCCE01F" w:rsidR="008A1345" w:rsidRPr="00AA1404" w:rsidRDefault="008A1345">
      <w:pPr>
        <w:pStyle w:val="Fodnotetekst"/>
        <w:rPr>
          <w:lang w:val="en-US"/>
        </w:rPr>
      </w:pPr>
      <w:r>
        <w:rPr>
          <w:rStyle w:val="Fodnotehenvisning"/>
        </w:rPr>
        <w:footnoteRef/>
      </w:r>
      <w:r>
        <w:t xml:space="preserve"> </w:t>
      </w:r>
      <w:r w:rsidR="00AA1404" w:rsidRPr="00AA1404">
        <w:rPr>
          <w:lang w:val="en-US"/>
        </w:rPr>
        <w:t>Smith, P.S. (2006) The Effects of Solitary Confinement on Prison Inmates: A Brief History and Review of the Literature</w:t>
      </w:r>
      <w:r w:rsidR="00AA1404">
        <w:rPr>
          <w:lang w:val="en-US"/>
        </w:rPr>
        <w:t xml:space="preserve">, </w:t>
      </w:r>
      <w:r w:rsidR="00AA1404" w:rsidRPr="00AC2AEE">
        <w:rPr>
          <w:i/>
          <w:iCs/>
          <w:lang w:val="en-US"/>
        </w:rPr>
        <w:t>Crime and Justice</w:t>
      </w:r>
      <w:r w:rsidR="00AA1404">
        <w:rPr>
          <w:lang w:val="en-US"/>
        </w:rPr>
        <w:t>, Vol 34, no. 1.</w:t>
      </w:r>
    </w:p>
  </w:footnote>
  <w:footnote w:id="8">
    <w:p w14:paraId="7CFC6DE1" w14:textId="77777777" w:rsidR="005D6D13" w:rsidRPr="00F57A13" w:rsidRDefault="005D6D13" w:rsidP="005D6D13">
      <w:pPr>
        <w:pStyle w:val="Fodnotetekst"/>
      </w:pPr>
      <w:r>
        <w:rPr>
          <w:rStyle w:val="Fodnotehenvisning"/>
        </w:rPr>
        <w:footnoteRef/>
      </w:r>
      <w:r>
        <w:t xml:space="preserve"> Peter Scharff Smith and Janne Jakobsen (2027) Varetægtsfængsling- Danmarks hårdeste straf?, Jurist- og Økonomforbundets forlag.</w:t>
      </w:r>
    </w:p>
  </w:footnote>
  <w:footnote w:id="9">
    <w:p w14:paraId="21FBA445" w14:textId="064308D4" w:rsidR="005D6D13" w:rsidRPr="00C95598" w:rsidRDefault="005D6D13">
      <w:pPr>
        <w:pStyle w:val="Fodnotetekst"/>
        <w:rPr>
          <w:lang w:val="en-US"/>
        </w:rPr>
      </w:pPr>
      <w:r>
        <w:rPr>
          <w:rStyle w:val="Fodnotehenvisning"/>
        </w:rPr>
        <w:footnoteRef/>
      </w:r>
      <w:r>
        <w:t xml:space="preserve"> </w:t>
      </w:r>
      <w:r w:rsidR="009E57A1" w:rsidRPr="009E57A1">
        <w:t>2018: 58,0% correspondence restrictions and 67,9 % visit restrictions; 2020: 65,7%/65,6 %; 2022: 62,9%/62,8</w:t>
      </w:r>
      <w:r w:rsidR="009E57A1" w:rsidRPr="009E57A1">
        <w:rPr>
          <w:lang w:val="en-US"/>
        </w:rPr>
        <w:t xml:space="preserve"> </w:t>
      </w:r>
      <w:r w:rsidR="009E57A1" w:rsidRPr="009E57A1">
        <w:t>%.</w:t>
      </w:r>
      <w:r w:rsidR="009E57A1" w:rsidRPr="009E57A1">
        <w:rPr>
          <w:lang w:val="en-US"/>
        </w:rPr>
        <w:t xml:space="preserve"> </w:t>
      </w:r>
      <w:r w:rsidR="00C95598" w:rsidRPr="00C95598">
        <w:rPr>
          <w:lang w:val="en-US"/>
        </w:rPr>
        <w:t>https://menneskeret.dk/status/faengsler-frihedsberoevelse#toc-vores-vigtigste-anbefalinger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4FD6"/>
    <w:multiLevelType w:val="hybridMultilevel"/>
    <w:tmpl w:val="C7301534"/>
    <w:lvl w:ilvl="0" w:tplc="79CAC798">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446D54A3"/>
    <w:multiLevelType w:val="hybridMultilevel"/>
    <w:tmpl w:val="805A7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89"/>
    <w:rsid w:val="00104A7C"/>
    <w:rsid w:val="00223BFA"/>
    <w:rsid w:val="004D6580"/>
    <w:rsid w:val="004D6E1C"/>
    <w:rsid w:val="0055135F"/>
    <w:rsid w:val="005D6D13"/>
    <w:rsid w:val="00683D22"/>
    <w:rsid w:val="007774B7"/>
    <w:rsid w:val="00781DFE"/>
    <w:rsid w:val="00803E98"/>
    <w:rsid w:val="008A1345"/>
    <w:rsid w:val="008E5667"/>
    <w:rsid w:val="009518C4"/>
    <w:rsid w:val="009E57A1"/>
    <w:rsid w:val="009E701E"/>
    <w:rsid w:val="00AA1404"/>
    <w:rsid w:val="00AA1468"/>
    <w:rsid w:val="00AC2AEE"/>
    <w:rsid w:val="00B56690"/>
    <w:rsid w:val="00B63A76"/>
    <w:rsid w:val="00BA18D0"/>
    <w:rsid w:val="00C95598"/>
    <w:rsid w:val="00D52A90"/>
    <w:rsid w:val="00D85018"/>
    <w:rsid w:val="00E24DE5"/>
    <w:rsid w:val="00ED6389"/>
    <w:rsid w:val="00F52425"/>
    <w:rsid w:val="00F57A13"/>
    <w:rsid w:val="00F85543"/>
    <w:rsid w:val="00F87546"/>
    <w:rsid w:val="00FF3A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6389"/>
    <w:pPr>
      <w:ind w:left="720"/>
      <w:contextualSpacing/>
    </w:pPr>
  </w:style>
  <w:style w:type="paragraph" w:styleId="Fodnotetekst">
    <w:name w:val="footnote text"/>
    <w:basedOn w:val="Normal"/>
    <w:link w:val="FodnotetekstTegn"/>
    <w:uiPriority w:val="99"/>
    <w:semiHidden/>
    <w:unhideWhenUsed/>
    <w:rsid w:val="00B56690"/>
    <w:rPr>
      <w:sz w:val="20"/>
      <w:szCs w:val="20"/>
    </w:rPr>
  </w:style>
  <w:style w:type="character" w:customStyle="1" w:styleId="FodnotetekstTegn">
    <w:name w:val="Fodnotetekst Tegn"/>
    <w:basedOn w:val="Standardskrifttypeiafsnit"/>
    <w:link w:val="Fodnotetekst"/>
    <w:uiPriority w:val="99"/>
    <w:semiHidden/>
    <w:rsid w:val="00B56690"/>
    <w:rPr>
      <w:sz w:val="20"/>
      <w:szCs w:val="20"/>
    </w:rPr>
  </w:style>
  <w:style w:type="character" w:styleId="Fodnotehenvisning">
    <w:name w:val="footnote reference"/>
    <w:basedOn w:val="Standardskrifttypeiafsnit"/>
    <w:uiPriority w:val="99"/>
    <w:semiHidden/>
    <w:unhideWhenUsed/>
    <w:rsid w:val="00B56690"/>
    <w:rPr>
      <w:vertAlign w:val="superscript"/>
    </w:rPr>
  </w:style>
  <w:style w:type="character" w:styleId="Hyperlink">
    <w:name w:val="Hyperlink"/>
    <w:basedOn w:val="Standardskrifttypeiafsnit"/>
    <w:uiPriority w:val="99"/>
    <w:unhideWhenUsed/>
    <w:rsid w:val="00B63A76"/>
    <w:rPr>
      <w:color w:val="0563C1" w:themeColor="hyperlink"/>
      <w:u w:val="single"/>
    </w:rPr>
  </w:style>
  <w:style w:type="character" w:customStyle="1" w:styleId="UnresolvedMention">
    <w:name w:val="Unresolved Mention"/>
    <w:basedOn w:val="Standardskrifttypeiafsnit"/>
    <w:uiPriority w:val="99"/>
    <w:semiHidden/>
    <w:unhideWhenUsed/>
    <w:rsid w:val="00B63A76"/>
    <w:rPr>
      <w:color w:val="605E5C"/>
      <w:shd w:val="clear" w:color="auto" w:fill="E1DFDD"/>
    </w:rPr>
  </w:style>
  <w:style w:type="paragraph" w:styleId="Markeringsbobletekst">
    <w:name w:val="Balloon Text"/>
    <w:basedOn w:val="Normal"/>
    <w:link w:val="MarkeringsbobletekstTegn"/>
    <w:uiPriority w:val="99"/>
    <w:semiHidden/>
    <w:unhideWhenUsed/>
    <w:rsid w:val="00683D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83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6389"/>
    <w:pPr>
      <w:ind w:left="720"/>
      <w:contextualSpacing/>
    </w:pPr>
  </w:style>
  <w:style w:type="paragraph" w:styleId="Fodnotetekst">
    <w:name w:val="footnote text"/>
    <w:basedOn w:val="Normal"/>
    <w:link w:val="FodnotetekstTegn"/>
    <w:uiPriority w:val="99"/>
    <w:semiHidden/>
    <w:unhideWhenUsed/>
    <w:rsid w:val="00B56690"/>
    <w:rPr>
      <w:sz w:val="20"/>
      <w:szCs w:val="20"/>
    </w:rPr>
  </w:style>
  <w:style w:type="character" w:customStyle="1" w:styleId="FodnotetekstTegn">
    <w:name w:val="Fodnotetekst Tegn"/>
    <w:basedOn w:val="Standardskrifttypeiafsnit"/>
    <w:link w:val="Fodnotetekst"/>
    <w:uiPriority w:val="99"/>
    <w:semiHidden/>
    <w:rsid w:val="00B56690"/>
    <w:rPr>
      <w:sz w:val="20"/>
      <w:szCs w:val="20"/>
    </w:rPr>
  </w:style>
  <w:style w:type="character" w:styleId="Fodnotehenvisning">
    <w:name w:val="footnote reference"/>
    <w:basedOn w:val="Standardskrifttypeiafsnit"/>
    <w:uiPriority w:val="99"/>
    <w:semiHidden/>
    <w:unhideWhenUsed/>
    <w:rsid w:val="00B56690"/>
    <w:rPr>
      <w:vertAlign w:val="superscript"/>
    </w:rPr>
  </w:style>
  <w:style w:type="character" w:styleId="Hyperlink">
    <w:name w:val="Hyperlink"/>
    <w:basedOn w:val="Standardskrifttypeiafsnit"/>
    <w:uiPriority w:val="99"/>
    <w:unhideWhenUsed/>
    <w:rsid w:val="00B63A76"/>
    <w:rPr>
      <w:color w:val="0563C1" w:themeColor="hyperlink"/>
      <w:u w:val="single"/>
    </w:rPr>
  </w:style>
  <w:style w:type="character" w:customStyle="1" w:styleId="UnresolvedMention">
    <w:name w:val="Unresolved Mention"/>
    <w:basedOn w:val="Standardskrifttypeiafsnit"/>
    <w:uiPriority w:val="99"/>
    <w:semiHidden/>
    <w:unhideWhenUsed/>
    <w:rsid w:val="00B63A76"/>
    <w:rPr>
      <w:color w:val="605E5C"/>
      <w:shd w:val="clear" w:color="auto" w:fill="E1DFDD"/>
    </w:rPr>
  </w:style>
  <w:style w:type="paragraph" w:styleId="Markeringsbobletekst">
    <w:name w:val="Balloon Text"/>
    <w:basedOn w:val="Normal"/>
    <w:link w:val="MarkeringsbobletekstTegn"/>
    <w:uiPriority w:val="99"/>
    <w:semiHidden/>
    <w:unhideWhenUsed/>
    <w:rsid w:val="00683D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83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094">
      <w:bodyDiv w:val="1"/>
      <w:marLeft w:val="0"/>
      <w:marRight w:val="0"/>
      <w:marTop w:val="0"/>
      <w:marBottom w:val="0"/>
      <w:divBdr>
        <w:top w:val="none" w:sz="0" w:space="0" w:color="auto"/>
        <w:left w:val="none" w:sz="0" w:space="0" w:color="auto"/>
        <w:bottom w:val="none" w:sz="0" w:space="0" w:color="auto"/>
        <w:right w:val="none" w:sz="0" w:space="0" w:color="auto"/>
      </w:divBdr>
      <w:divsChild>
        <w:div w:id="1841382088">
          <w:marLeft w:val="0"/>
          <w:marRight w:val="0"/>
          <w:marTop w:val="0"/>
          <w:marBottom w:val="0"/>
          <w:divBdr>
            <w:top w:val="none" w:sz="0" w:space="0" w:color="auto"/>
            <w:left w:val="none" w:sz="0" w:space="0" w:color="auto"/>
            <w:bottom w:val="none" w:sz="0" w:space="0" w:color="auto"/>
            <w:right w:val="none" w:sz="0" w:space="0" w:color="auto"/>
          </w:divBdr>
          <w:divsChild>
            <w:div w:id="1636989086">
              <w:marLeft w:val="0"/>
              <w:marRight w:val="0"/>
              <w:marTop w:val="0"/>
              <w:marBottom w:val="0"/>
              <w:divBdr>
                <w:top w:val="none" w:sz="0" w:space="0" w:color="auto"/>
                <w:left w:val="none" w:sz="0" w:space="0" w:color="auto"/>
                <w:bottom w:val="none" w:sz="0" w:space="0" w:color="auto"/>
                <w:right w:val="none" w:sz="0" w:space="0" w:color="auto"/>
              </w:divBdr>
              <w:divsChild>
                <w:div w:id="17347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4733">
      <w:bodyDiv w:val="1"/>
      <w:marLeft w:val="0"/>
      <w:marRight w:val="0"/>
      <w:marTop w:val="0"/>
      <w:marBottom w:val="0"/>
      <w:divBdr>
        <w:top w:val="none" w:sz="0" w:space="0" w:color="auto"/>
        <w:left w:val="none" w:sz="0" w:space="0" w:color="auto"/>
        <w:bottom w:val="none" w:sz="0" w:space="0" w:color="auto"/>
        <w:right w:val="none" w:sz="0" w:space="0" w:color="auto"/>
      </w:divBdr>
    </w:div>
    <w:div w:id="949622842">
      <w:bodyDiv w:val="1"/>
      <w:marLeft w:val="0"/>
      <w:marRight w:val="0"/>
      <w:marTop w:val="0"/>
      <w:marBottom w:val="0"/>
      <w:divBdr>
        <w:top w:val="none" w:sz="0" w:space="0" w:color="auto"/>
        <w:left w:val="none" w:sz="0" w:space="0" w:color="auto"/>
        <w:bottom w:val="none" w:sz="0" w:space="0" w:color="auto"/>
        <w:right w:val="none" w:sz="0" w:space="0" w:color="auto"/>
      </w:divBdr>
    </w:div>
    <w:div w:id="969480766">
      <w:bodyDiv w:val="1"/>
      <w:marLeft w:val="0"/>
      <w:marRight w:val="0"/>
      <w:marTop w:val="0"/>
      <w:marBottom w:val="0"/>
      <w:divBdr>
        <w:top w:val="none" w:sz="0" w:space="0" w:color="auto"/>
        <w:left w:val="none" w:sz="0" w:space="0" w:color="auto"/>
        <w:bottom w:val="none" w:sz="0" w:space="0" w:color="auto"/>
        <w:right w:val="none" w:sz="0" w:space="0" w:color="auto"/>
      </w:divBdr>
      <w:divsChild>
        <w:div w:id="406920899">
          <w:marLeft w:val="0"/>
          <w:marRight w:val="0"/>
          <w:marTop w:val="0"/>
          <w:marBottom w:val="0"/>
          <w:divBdr>
            <w:top w:val="none" w:sz="0" w:space="0" w:color="auto"/>
            <w:left w:val="none" w:sz="0" w:space="0" w:color="auto"/>
            <w:bottom w:val="none" w:sz="0" w:space="0" w:color="auto"/>
            <w:right w:val="none" w:sz="0" w:space="0" w:color="auto"/>
          </w:divBdr>
          <w:divsChild>
            <w:div w:id="1862470754">
              <w:marLeft w:val="0"/>
              <w:marRight w:val="0"/>
              <w:marTop w:val="0"/>
              <w:marBottom w:val="0"/>
              <w:divBdr>
                <w:top w:val="none" w:sz="0" w:space="0" w:color="auto"/>
                <w:left w:val="none" w:sz="0" w:space="0" w:color="auto"/>
                <w:bottom w:val="none" w:sz="0" w:space="0" w:color="auto"/>
                <w:right w:val="none" w:sz="0" w:space="0" w:color="auto"/>
              </w:divBdr>
              <w:divsChild>
                <w:div w:id="868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1755">
      <w:bodyDiv w:val="1"/>
      <w:marLeft w:val="0"/>
      <w:marRight w:val="0"/>
      <w:marTop w:val="0"/>
      <w:marBottom w:val="0"/>
      <w:divBdr>
        <w:top w:val="none" w:sz="0" w:space="0" w:color="auto"/>
        <w:left w:val="none" w:sz="0" w:space="0" w:color="auto"/>
        <w:bottom w:val="none" w:sz="0" w:space="0" w:color="auto"/>
        <w:right w:val="none" w:sz="0" w:space="0" w:color="auto"/>
      </w:divBdr>
    </w:div>
    <w:div w:id="1658535854">
      <w:bodyDiv w:val="1"/>
      <w:marLeft w:val="0"/>
      <w:marRight w:val="0"/>
      <w:marTop w:val="0"/>
      <w:marBottom w:val="0"/>
      <w:divBdr>
        <w:top w:val="none" w:sz="0" w:space="0" w:color="auto"/>
        <w:left w:val="none" w:sz="0" w:space="0" w:color="auto"/>
        <w:bottom w:val="none" w:sz="0" w:space="0" w:color="auto"/>
        <w:right w:val="none" w:sz="0" w:space="0" w:color="auto"/>
      </w:divBdr>
    </w:div>
    <w:div w:id="20812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omstol.dk/aktuelt/2023/3/fortsat-lange-sagsbehandlingstider-i-2022/" TargetMode="Externa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A111-C426-4441-B46B-17C9DD88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p.s.smith</dc:creator>
  <cp:lastModifiedBy>Manfred W Petersen</cp:lastModifiedBy>
  <cp:revision>2</cp:revision>
  <dcterms:created xsi:type="dcterms:W3CDTF">2023-12-20T15:38:00Z</dcterms:created>
  <dcterms:modified xsi:type="dcterms:W3CDTF">2023-12-20T15:38:00Z</dcterms:modified>
</cp:coreProperties>
</file>